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BB756E" w:rsidRDefault="00BB756E" w:rsidP="00BB756E">
      <w:pPr>
        <w:rPr>
          <w:b/>
        </w:rPr>
      </w:pPr>
    </w:p>
    <w:p w:rsidR="00C32CB8" w:rsidRPr="00BB756E" w:rsidRDefault="00374DC5" w:rsidP="00650097">
      <w:pPr>
        <w:rPr>
          <w:rFonts w:ascii="Calibri" w:hAnsi="Calibri" w:cs="Calibri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BB756E">
        <w:rPr>
          <w:b/>
        </w:rPr>
        <w:t xml:space="preserve"> </w:t>
      </w:r>
      <w:r w:rsidR="00650097">
        <w:rPr>
          <w:b/>
        </w:rPr>
        <w:t xml:space="preserve">10 – </w:t>
      </w:r>
      <w:r w:rsidR="00955B70">
        <w:rPr>
          <w:b/>
        </w:rPr>
        <w:t xml:space="preserve"> unit okulistyczny</w:t>
      </w:r>
      <w:r w:rsidR="00C87694">
        <w:rPr>
          <w:b/>
        </w:rPr>
        <w:t xml:space="preserve"> – 1 komplet</w:t>
      </w:r>
      <w:bookmarkStart w:id="0" w:name="_GoBack"/>
      <w:bookmarkEnd w:id="0"/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C367C1">
        <w:rPr>
          <w:b/>
        </w:rPr>
        <w:t>9</w:t>
      </w:r>
    </w:p>
    <w:p w:rsidR="00650097" w:rsidRDefault="00650097" w:rsidP="00C32CB8">
      <w:pPr>
        <w:rPr>
          <w:b/>
        </w:rPr>
      </w:pPr>
    </w:p>
    <w:tbl>
      <w:tblPr>
        <w:tblW w:w="907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545"/>
        <w:gridCol w:w="2552"/>
        <w:gridCol w:w="2411"/>
      </w:tblGrid>
      <w:tr w:rsidR="00650097" w:rsidRPr="005B021D" w:rsidTr="00955B70">
        <w:trPr>
          <w:trHeight w:val="72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097" w:rsidRPr="005B021D" w:rsidRDefault="006500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0097" w:rsidRPr="005B021D" w:rsidRDefault="006500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097" w:rsidRPr="005B021D" w:rsidRDefault="006500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0097" w:rsidRPr="005B021D" w:rsidRDefault="006500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Warunki ogólne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097" w:rsidRPr="005B021D" w:rsidRDefault="006500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0097" w:rsidRPr="005B021D" w:rsidRDefault="006500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Parametr wymagany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97" w:rsidRPr="005B021D" w:rsidRDefault="006500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0097" w:rsidRPr="005B021D" w:rsidRDefault="00650097" w:rsidP="006500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Parametr oferowany</w:t>
            </w:r>
          </w:p>
        </w:tc>
      </w:tr>
      <w:tr w:rsidR="00066F25" w:rsidRPr="005B021D" w:rsidTr="001D2B0C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Unit z blatem na dwa urządzenia i z fotelem elektrycznie podnoszonym góra-dół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Unit wyposażony w szufladę na kasetę dużą (około 250 szkieł).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 xml:space="preserve">Unit wyposażony w lampkę do </w:t>
            </w:r>
            <w:proofErr w:type="spellStart"/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bliży</w:t>
            </w:r>
            <w:proofErr w:type="spellEnd"/>
            <w:r w:rsidRPr="005B021D">
              <w:rPr>
                <w:rFonts w:ascii="Times New Roman" w:hAnsi="Times New Roman" w:cs="Times New Roman"/>
                <w:sz w:val="18"/>
                <w:szCs w:val="18"/>
              </w:rPr>
              <w:t xml:space="preserve"> typu LED.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5B021D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Unit wyposażony w lampę oświetlającą pomieszczenie na maszcie unitu z płynną regulacją natężenia oświetlenia z pulpitu sterowniczego unitu.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5B021D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66F25" w:rsidRPr="005B021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Unit wyposażony w diodowe oświetlenie korpusu unitu z możliwością zmiany koloru oświetlenia przez użytkownika. Wymagane minimum 3 kolory oświetlenia.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5B021D" w:rsidP="00066F25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066F25" w:rsidRPr="005B021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Unit wyposażony w uchwyt rzutnika optotypów.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5B021D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066F25" w:rsidRPr="005B021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Fotel pacjenta nierozkładany wyposażony w podłokietniki oraz podnóżek.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5B021D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066F25" w:rsidRPr="005B021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Sterownie podnoszeniem fotela z pulpitu sterowniczego unitu.</w:t>
            </w:r>
          </w:p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Zakres regulacji fotela pacjenta góra-dół: od 630mm do 430mm lub większy.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5B021D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66F25" w:rsidRPr="005B021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Zasilanie unitu: 230V+/-10%, 50Hz.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pStyle w:val="Nagwek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23EC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EC" w:rsidRPr="005B021D" w:rsidRDefault="001823EC" w:rsidP="001823EC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B021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EC" w:rsidRPr="005B021D" w:rsidRDefault="001823EC" w:rsidP="001823EC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Maksymalny pobór prądu: 850VA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EC" w:rsidRPr="005B021D" w:rsidRDefault="001823EC" w:rsidP="001823E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EC" w:rsidRPr="005B021D" w:rsidRDefault="001823EC" w:rsidP="001823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  <w:r w:rsidR="005B021D"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Maksymalna waga unitu: 120 kg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lastRenderedPageBreak/>
              <w:t>1</w:t>
            </w:r>
            <w:r w:rsidR="005B021D">
              <w:rPr>
                <w:rFonts w:ascii="Times New Roman" w:eastAsia="Arial" w:hAnsi="Times New Roman" w:cs="Times New Roman"/>
                <w:sz w:val="18"/>
                <w:szCs w:val="18"/>
              </w:rPr>
              <w:t>2</w:t>
            </w: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Nośność blatu unitu pod urządzenia okulistyczne: min 40 kg.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snapToGrid w:val="0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  <w:r w:rsidR="005B021D">
              <w:rPr>
                <w:rFonts w:ascii="Times New Roman" w:eastAsia="Arial" w:hAnsi="Times New Roman" w:cs="Times New Roman"/>
                <w:sz w:val="18"/>
                <w:szCs w:val="18"/>
              </w:rPr>
              <w:t>3</w:t>
            </w: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Wielkość blatu unitu pod urządzenia: min 880mm x 385 mm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  <w:r w:rsidR="00F24EE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1D2B0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snapToGrid w:val="0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B021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Maksymalna wysokość unitu: 2030 mm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5" w:rsidRPr="005B021D" w:rsidRDefault="00066F25" w:rsidP="00066F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Tak (podać)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066F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F25" w:rsidRPr="005B021D" w:rsidTr="00066F25">
        <w:trPr>
          <w:trHeight w:val="330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25" w:rsidRPr="005B021D" w:rsidRDefault="00066F25" w:rsidP="001122D8">
            <w:pPr>
              <w:snapToGrid w:val="0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Wyposażenie unitu</w:t>
            </w:r>
          </w:p>
        </w:tc>
      </w:tr>
      <w:tr w:rsidR="001823EC" w:rsidRPr="005B021D" w:rsidTr="006C239C">
        <w:trPr>
          <w:trHeight w:val="487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EC" w:rsidRPr="005B021D" w:rsidRDefault="001122D8" w:rsidP="001823EC">
            <w:pPr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Rzutnik optotypów</w:t>
            </w: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Zakres wyświetlania wyostrzonych optotypów: od 3m do 6,1 m lub większy.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 xml:space="preserve">Wartość powiększenia </w:t>
            </w:r>
            <w:proofErr w:type="spellStart"/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optotypu</w:t>
            </w:r>
            <w:proofErr w:type="spellEnd"/>
            <w:r w:rsidRPr="005B021D">
              <w:rPr>
                <w:rFonts w:ascii="Times New Roman" w:hAnsi="Times New Roman" w:cs="Times New Roman"/>
                <w:sz w:val="18"/>
                <w:szCs w:val="18"/>
              </w:rPr>
              <w:t xml:space="preserve"> 30x przy odległości 5 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Minimalna wielkość projekcji: 330mm x 270mm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Minimalna ilość optotypów: 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 xml:space="preserve">Szybkość zmiany </w:t>
            </w:r>
            <w:proofErr w:type="spellStart"/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optotypu</w:t>
            </w:r>
            <w:proofErr w:type="spellEnd"/>
            <w:r w:rsidRPr="005B021D">
              <w:rPr>
                <w:rFonts w:ascii="Times New Roman" w:hAnsi="Times New Roman" w:cs="Times New Roman"/>
                <w:sz w:val="18"/>
                <w:szCs w:val="18"/>
              </w:rPr>
              <w:t xml:space="preserve">: 0,03 </w:t>
            </w:r>
            <w:proofErr w:type="spellStart"/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sek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Możliwość wyświetlania pojedynczych wierszy, kolumn, i pojedyncze znaki poprzez nałożenie odpowiednich masek.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Możliwość definiowania programów na rzutniku. Minimalna ilość kroków w programie: 25.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Źródło światła: żarówka halogenowa 12V, 50W.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Automatyczne wyłączanie źródła światła po czasie bezczynności rzutnika.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Maksymalna waga urządzenia: 6kg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W komplecie pilot do sterowania rzutnikiem oraz ekran rzutnika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F4193F">
        <w:trPr>
          <w:trHeight w:val="487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021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Autorefraktometr</w:t>
            </w:r>
            <w:proofErr w:type="spellEnd"/>
            <w:r w:rsidRPr="005B021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z keratometrem</w:t>
            </w: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Urządzenie posiadające funkcje: </w:t>
            </w:r>
            <w:proofErr w:type="spellStart"/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autorefraktometru</w:t>
            </w:r>
            <w:proofErr w:type="spellEnd"/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oraz keratometru,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Urządzenie z naprowadzaną głowicą na oko pacjenta za pomocą </w:t>
            </w:r>
            <w:proofErr w:type="spellStart"/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dżojstika</w:t>
            </w:r>
            <w:proofErr w:type="spellEnd"/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. Automatyczna detekcja badanego oka.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Sterowanie urządzenia za pomocą wbudowanego, kolorowego ekranu dotykowego LCD. Wielkość ekranu min. 8,5”.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Tryby wykonywania pomiaru: tryb automatyczny oraz tryb ręczny.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Wbudowana drukarka, umożliwiająca bezpośredni wydruk dokonanych pomiarów, z automatycznym odcinaniem papieru.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Parametry </w:t>
            </w:r>
            <w:proofErr w:type="spellStart"/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autorefraktometru</w:t>
            </w:r>
            <w:proofErr w:type="spellEnd"/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: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minimalna średnica źrenicy 2 mm,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zakres pomiaru refrakcji sfery od -25D do +22D lub większy, z dokładnością 0,12D i 0,25D,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zakres pomiaru cylindra od -10D do +10D lub większy, z dokładnością 0,12D i 0,25D.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pomiar osi cylindra od 1 do 180 stopni co 1 stopień.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możliwość przedstawienia wyniku dla soczewki oddalonej (pomiar od jej tylnej powierzchni) od szczytu rogówki (VD) w odległości 0mm, 12.00mm, 13.75mm.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rozluźnianie akomodacji badanego poprzez ruch </w:t>
            </w:r>
            <w:proofErr w:type="spellStart"/>
            <w:r w:rsidRPr="005B021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optotypu</w:t>
            </w:r>
            <w:proofErr w:type="spellEnd"/>
            <w:r w:rsidRPr="005B021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.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funkcja pomiaru oka z soczewką wszczepioną (IOL).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Pojedynczy pomiar refrakcji realizowany poprzez skanowanie układu optycznego oka wiązką w kształcie okręgu, w obszarze większym niż wielkość kołowa wiązki, fizyczne uśrednienie pojedynczego wyniku w obszarze pomiarowym.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Parametry keratometru: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zakres krzywizny rogówki: od 5 mm do 10 mm z krokiem 0,01mm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8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zakres pomiaru mocy rogówki od 67,5D do 33,75D  lub większy dla n=1,3375.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zakres pomiaru mocy astygmatyzmu rogówki od -10D do +10D  lub większy.</w:t>
            </w:r>
          </w:p>
          <w:p w:rsidR="001122D8" w:rsidRPr="005B021D" w:rsidRDefault="001122D8" w:rsidP="001122D8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pomiar osi astygmatyzmu rogówki od 1 do 180 stopni co 1 stopień.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Zakres pomiaru rozstawu źrenic PD: od 20mm do 85mm lub większy z krokiem 0,5mm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  <w:r w:rsidR="00F24EE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(podsć)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2D8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Wbudowane porty komunikacji urządzenia: USB, RS-232C, LAN RJ-45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D8" w:rsidRPr="005B021D" w:rsidRDefault="001122D8" w:rsidP="001122D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D8" w:rsidRPr="005B021D" w:rsidRDefault="001122D8" w:rsidP="001122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23EC" w:rsidRPr="005B021D" w:rsidTr="001823EC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EC" w:rsidRPr="005B021D" w:rsidRDefault="001122D8" w:rsidP="006D228F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EC" w:rsidRPr="005B021D" w:rsidRDefault="001122D8" w:rsidP="006D228F">
            <w:pPr>
              <w:autoSpaceDE w:val="0"/>
              <w:snapToGrid w:val="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eastAsia="Arial" w:hAnsi="Times New Roman" w:cs="Times New Roman"/>
                <w:sz w:val="18"/>
                <w:szCs w:val="18"/>
              </w:rPr>
              <w:t>Maksymalna waga urządzenia: 15 kg.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3EC" w:rsidRPr="005B021D" w:rsidRDefault="001823EC" w:rsidP="006D228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  <w:r w:rsidR="001122D8"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/podać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3EC" w:rsidRPr="005B021D" w:rsidRDefault="001823EC" w:rsidP="006D22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03D6" w:rsidRPr="005B021D" w:rsidTr="00CB41EF">
        <w:trPr>
          <w:trHeight w:val="487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D6" w:rsidRPr="005B021D" w:rsidRDefault="00B403D6" w:rsidP="00D94F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Tonometr indukcyjny</w:t>
            </w: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Przenośny indukcyjny tonometr umożliwiający badanie ciśnienia IOP oka pacjenta bez znieczulania i bez podmuchu powietrza.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Możliwość wykonania pomiarów na pacjentach w pozycji siedzącej oraz leżącej.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Wbudowany czujnik nachylenia głowicy pomiarowej umożliwiający pomiar pacjenta leżącego na plecach.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Możliwość wykonania pojedynczego pomiaru oraz serii 6 pomiarów automatycznie przy jednym wciśnięciu przycisku pomiaru.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Wbudowany kolorowy wyświetlacz LCD.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Wbudowana pamięć badań.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Możliwość zdefiniowania oka które jest badane L/R.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Możliwość przeglądania wyników pomiarów na ekranie tonometru.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Bezprzewodowy transfer danych wg standardu Bluetooth.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Napięcie zasilające: 6V. Zasilanie z baterii typu AA.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 xml:space="preserve">Zakres </w:t>
            </w:r>
            <w:proofErr w:type="spellStart"/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pomiaru:</w:t>
            </w:r>
            <w:r w:rsidR="00121852">
              <w:rPr>
                <w:rFonts w:ascii="Times New Roman" w:hAnsi="Times New Roman" w:cs="Times New Roman"/>
                <w:sz w:val="18"/>
                <w:szCs w:val="18"/>
              </w:rPr>
              <w:t>min</w:t>
            </w:r>
            <w:proofErr w:type="spellEnd"/>
            <w:r w:rsidR="0012185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 xml:space="preserve"> 7 - 50 mmHg.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Dokładność pomiaru: +/-1.2 mmHg przy pomiarze poniżej 20mmHg oraz +/-2.2mmHg przy pomiarze powyżej 20mmHg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Urządzenie przenośne o maksymalnych wymiarach: 45mm x 110mm x 220mm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Maksymalna waga urządzenia z bateriami: 300 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  <w:r w:rsidR="0012185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021D" w:rsidRPr="005B021D" w:rsidTr="001122D8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218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sz w:val="18"/>
                <w:szCs w:val="18"/>
              </w:rPr>
              <w:t>W komplecie 500 sond pomiarowych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D" w:rsidRPr="005B021D" w:rsidRDefault="005B021D" w:rsidP="005B021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21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1D" w:rsidRPr="005B021D" w:rsidRDefault="005B021D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46E1" w:rsidRPr="005B021D" w:rsidTr="00485115">
        <w:trPr>
          <w:trHeight w:val="487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121852" w:rsidRDefault="009A46E1" w:rsidP="005B0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Mikroskop </w:t>
            </w:r>
            <w:proofErr w:type="spellStart"/>
            <w:r w:rsidRPr="00121852">
              <w:rPr>
                <w:rFonts w:ascii="Times New Roman" w:hAnsi="Times New Roman" w:cs="Times New Roman"/>
                <w:b/>
                <w:sz w:val="18"/>
                <w:szCs w:val="18"/>
              </w:rPr>
              <w:t>spekularny</w:t>
            </w:r>
            <w:proofErr w:type="spellEnd"/>
          </w:p>
        </w:tc>
      </w:tr>
      <w:tr w:rsidR="009A46E1" w:rsidRPr="005B021D" w:rsidTr="009A46E1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5B021D" w:rsidRDefault="009A46E1" w:rsidP="00B4681A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E1" w:rsidRPr="00121852" w:rsidRDefault="009A46E1" w:rsidP="00B468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Bezkontaktowy pomiar wielkości oraz ilości komórek śródbłonka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E1" w:rsidRPr="00121852" w:rsidRDefault="00121852" w:rsidP="00B468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E1" w:rsidRPr="005B021D" w:rsidRDefault="009A46E1" w:rsidP="00B468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Tryb ustawiania pozycji aparatu oraz wykonania zdjęcia śródbłonka do wyboru: manualny lub automatyczny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Automatyczny pomiar i automatyczne pozycjonowanie głowicy pomiarowej urządzenia względem oka pacjenta w osiach: przód-tył, lewo-prawo, góra-dół. Obsługa głowicy urządzenia poprzez wyświetlacz dotykowy – nie poprzez dżojstik.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121852" w:rsidRDefault="00121852" w:rsidP="0012185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Obszar fotografii 0,25mm x 0,55mm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Możliwość złożenia trzech fotografii centralnych w jeden obraz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Diagram ilustrujący podział ilości komórek względem ich wielkości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Wewnętrzny punkt fiksacyjny z możliwością wyboru położenia fiksacji centralnej i peryferyjnej: minimum 10 pozycji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 xml:space="preserve">Pomiar grubości rogówki – </w:t>
            </w:r>
            <w:proofErr w:type="spellStart"/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pachymetria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 xml:space="preserve">Analiza polimorfizmu i </w:t>
            </w:r>
            <w:proofErr w:type="spellStart"/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polimegatyzmu</w:t>
            </w:r>
            <w:proofErr w:type="spellEnd"/>
            <w:r w:rsidRPr="00121852">
              <w:rPr>
                <w:rFonts w:ascii="Times New Roman" w:hAnsi="Times New Roman" w:cs="Times New Roman"/>
                <w:sz w:val="18"/>
                <w:szCs w:val="18"/>
              </w:rPr>
              <w:t xml:space="preserve"> komórek śródbłonka.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Dotykowy, uchylny, obrotowy monitor kolorowy typu LCD, zintegrowany z urządzeniem, o wielkości min. 10”.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(podać)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Wbudowana drukarka termiczna z automatycznym odcinaniem papieru.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852" w:rsidRPr="005B021D" w:rsidTr="00596F5E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52" w:rsidRPr="00121852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852">
              <w:rPr>
                <w:rFonts w:ascii="Times New Roman" w:hAnsi="Times New Roman" w:cs="Times New Roman"/>
                <w:sz w:val="18"/>
                <w:szCs w:val="18"/>
              </w:rPr>
              <w:t>Urządzenie wyposażone w wewnętrzną pamięć/dysk USB. Możliwość zapisu danych pacjenta i badań do bazy danych pacjentów w pamięci urządzenia.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Default="00121852" w:rsidP="00121852">
            <w:pPr>
              <w:jc w:val="center"/>
            </w:pPr>
            <w:r w:rsidRPr="00DD32F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52" w:rsidRPr="005B021D" w:rsidRDefault="00121852" w:rsidP="001218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0097" w:rsidRDefault="00650097" w:rsidP="001823EC">
      <w:pPr>
        <w:rPr>
          <w:b/>
        </w:rPr>
      </w:pPr>
    </w:p>
    <w:sectPr w:rsidR="00650097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F32" w:rsidRDefault="00E82F32" w:rsidP="00C32CB8">
      <w:pPr>
        <w:spacing w:after="0" w:line="240" w:lineRule="auto"/>
      </w:pPr>
      <w:r>
        <w:separator/>
      </w:r>
    </w:p>
  </w:endnote>
  <w:endnote w:type="continuationSeparator" w:id="0">
    <w:p w:rsidR="00E82F32" w:rsidRDefault="00E82F32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F32" w:rsidRDefault="00E82F32" w:rsidP="00C32CB8">
      <w:pPr>
        <w:spacing w:after="0" w:line="240" w:lineRule="auto"/>
      </w:pPr>
      <w:r>
        <w:separator/>
      </w:r>
    </w:p>
  </w:footnote>
  <w:footnote w:type="continuationSeparator" w:id="0">
    <w:p w:rsidR="00E82F32" w:rsidRDefault="00E82F32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2125"/>
        </w:tabs>
        <w:ind w:left="2295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066F25"/>
    <w:rsid w:val="001122D8"/>
    <w:rsid w:val="00121852"/>
    <w:rsid w:val="00177182"/>
    <w:rsid w:val="001823EC"/>
    <w:rsid w:val="001A0366"/>
    <w:rsid w:val="001A11B4"/>
    <w:rsid w:val="001D2B0C"/>
    <w:rsid w:val="002C2BF6"/>
    <w:rsid w:val="003223C3"/>
    <w:rsid w:val="00334CD4"/>
    <w:rsid w:val="00374DC5"/>
    <w:rsid w:val="003C5D06"/>
    <w:rsid w:val="0047110D"/>
    <w:rsid w:val="004C7157"/>
    <w:rsid w:val="004F1B45"/>
    <w:rsid w:val="00537814"/>
    <w:rsid w:val="00556FA0"/>
    <w:rsid w:val="005B021D"/>
    <w:rsid w:val="005F7822"/>
    <w:rsid w:val="00650097"/>
    <w:rsid w:val="006866F4"/>
    <w:rsid w:val="006C2278"/>
    <w:rsid w:val="006C7051"/>
    <w:rsid w:val="00730B7A"/>
    <w:rsid w:val="00740D4E"/>
    <w:rsid w:val="007B275B"/>
    <w:rsid w:val="007B2EB2"/>
    <w:rsid w:val="00816254"/>
    <w:rsid w:val="00853677"/>
    <w:rsid w:val="00916D1A"/>
    <w:rsid w:val="00955B70"/>
    <w:rsid w:val="00963B12"/>
    <w:rsid w:val="0099606B"/>
    <w:rsid w:val="009A46E1"/>
    <w:rsid w:val="00B403D6"/>
    <w:rsid w:val="00B606D7"/>
    <w:rsid w:val="00B72B5C"/>
    <w:rsid w:val="00BA49C2"/>
    <w:rsid w:val="00BB19FE"/>
    <w:rsid w:val="00BB756E"/>
    <w:rsid w:val="00C32CB8"/>
    <w:rsid w:val="00C367C1"/>
    <w:rsid w:val="00C40379"/>
    <w:rsid w:val="00C87694"/>
    <w:rsid w:val="00D60E57"/>
    <w:rsid w:val="00D63F4C"/>
    <w:rsid w:val="00D83D8D"/>
    <w:rsid w:val="00D85B52"/>
    <w:rsid w:val="00D94F06"/>
    <w:rsid w:val="00DC3478"/>
    <w:rsid w:val="00E01C11"/>
    <w:rsid w:val="00E82F32"/>
    <w:rsid w:val="00EB0D33"/>
    <w:rsid w:val="00EB391B"/>
    <w:rsid w:val="00F24EE1"/>
    <w:rsid w:val="00F33E26"/>
    <w:rsid w:val="00F36613"/>
    <w:rsid w:val="00FD0561"/>
    <w:rsid w:val="00FF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168A7"/>
  <w15:chartTrackingRefBased/>
  <w15:docId w15:val="{2C265F22-35FF-4BF3-BCCB-6D5B2B00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WW8Num1z0">
    <w:name w:val="WW8Num1z0"/>
    <w:rsid w:val="00730B7A"/>
    <w:rPr>
      <w:rFonts w:ascii="Symbol" w:hAnsi="Symbol" w:cs="OpenSymbol"/>
    </w:rPr>
  </w:style>
  <w:style w:type="character" w:customStyle="1" w:styleId="WW8Num1z1">
    <w:name w:val="WW8Num1z1"/>
    <w:rsid w:val="00730B7A"/>
    <w:rPr>
      <w:rFonts w:ascii="OpenSymbol" w:hAnsi="OpenSymbol" w:cs="OpenSymbol"/>
    </w:rPr>
  </w:style>
  <w:style w:type="character" w:customStyle="1" w:styleId="WW8Num2z0">
    <w:name w:val="WW8Num2z0"/>
    <w:rsid w:val="00730B7A"/>
    <w:rPr>
      <w:rFonts w:ascii="Symbol" w:eastAsia="Arial" w:hAnsi="Symbol" w:cs="OpenSymbol"/>
      <w:color w:val="000000"/>
      <w:lang w:val="pl-PL"/>
    </w:rPr>
  </w:style>
  <w:style w:type="character" w:customStyle="1" w:styleId="WW8Num2z1">
    <w:name w:val="WW8Num2z1"/>
    <w:rsid w:val="00730B7A"/>
    <w:rPr>
      <w:rFonts w:ascii="OpenSymbol" w:hAnsi="OpenSymbol" w:cs="OpenSymbol"/>
    </w:rPr>
  </w:style>
  <w:style w:type="character" w:customStyle="1" w:styleId="WW8Num3z0">
    <w:name w:val="WW8Num3z0"/>
    <w:rsid w:val="00730B7A"/>
    <w:rPr>
      <w:rFonts w:ascii="Symbol" w:hAnsi="Symbol" w:cs="OpenSymbol"/>
    </w:rPr>
  </w:style>
  <w:style w:type="character" w:customStyle="1" w:styleId="WW8Num3z1">
    <w:name w:val="WW8Num3z1"/>
    <w:rsid w:val="00730B7A"/>
    <w:rPr>
      <w:rFonts w:ascii="OpenSymbol" w:hAnsi="OpenSymbol" w:cs="OpenSymbol"/>
    </w:rPr>
  </w:style>
  <w:style w:type="character" w:customStyle="1" w:styleId="WW8Num4z0">
    <w:name w:val="WW8Num4z0"/>
    <w:rsid w:val="00730B7A"/>
    <w:rPr>
      <w:rFonts w:ascii="Symbol" w:hAnsi="Symbol" w:cs="OpenSymbol"/>
    </w:rPr>
  </w:style>
  <w:style w:type="character" w:customStyle="1" w:styleId="WW8Num4z1">
    <w:name w:val="WW8Num4z1"/>
    <w:rsid w:val="00730B7A"/>
    <w:rPr>
      <w:rFonts w:ascii="OpenSymbol" w:hAnsi="OpenSymbol" w:cs="OpenSymbol"/>
    </w:rPr>
  </w:style>
  <w:style w:type="character" w:customStyle="1" w:styleId="WW8Num5z0">
    <w:name w:val="WW8Num5z0"/>
    <w:rsid w:val="00730B7A"/>
    <w:rPr>
      <w:rFonts w:ascii="Symbol" w:hAnsi="Symbol" w:cs="OpenSymbol"/>
    </w:rPr>
  </w:style>
  <w:style w:type="character" w:customStyle="1" w:styleId="WW8Num5z1">
    <w:name w:val="WW8Num5z1"/>
    <w:rsid w:val="00730B7A"/>
    <w:rPr>
      <w:rFonts w:ascii="OpenSymbol" w:hAnsi="OpenSymbol" w:cs="OpenSymbol"/>
    </w:rPr>
  </w:style>
  <w:style w:type="character" w:customStyle="1" w:styleId="WW8Num6z0">
    <w:name w:val="WW8Num6z0"/>
    <w:rsid w:val="00730B7A"/>
    <w:rPr>
      <w:rFonts w:ascii="Symbol" w:eastAsia="Arial" w:hAnsi="Symbol" w:cs="OpenSymbol"/>
      <w:lang w:val="pl-PL"/>
    </w:rPr>
  </w:style>
  <w:style w:type="character" w:customStyle="1" w:styleId="WW8Num6z1">
    <w:name w:val="WW8Num6z1"/>
    <w:rsid w:val="00730B7A"/>
    <w:rPr>
      <w:rFonts w:ascii="OpenSymbol" w:hAnsi="OpenSymbol" w:cs="OpenSymbol"/>
    </w:rPr>
  </w:style>
  <w:style w:type="character" w:customStyle="1" w:styleId="WW8Num7z0">
    <w:name w:val="WW8Num7z0"/>
    <w:rsid w:val="00730B7A"/>
    <w:rPr>
      <w:rFonts w:ascii="Symbol" w:hAnsi="Symbol" w:cs="OpenSymbol"/>
    </w:rPr>
  </w:style>
  <w:style w:type="character" w:customStyle="1" w:styleId="WW8Num7z1">
    <w:name w:val="WW8Num7z1"/>
    <w:rsid w:val="00730B7A"/>
    <w:rPr>
      <w:rFonts w:ascii="OpenSymbol" w:hAnsi="OpenSymbol" w:cs="OpenSymbol"/>
    </w:rPr>
  </w:style>
  <w:style w:type="character" w:customStyle="1" w:styleId="WW8Num8z0">
    <w:name w:val="WW8Num8z0"/>
    <w:rsid w:val="00730B7A"/>
    <w:rPr>
      <w:rFonts w:ascii="Symbol" w:eastAsia="Arial" w:hAnsi="Symbol" w:cs="OpenSymbol"/>
      <w:lang w:val="pl-PL"/>
    </w:rPr>
  </w:style>
  <w:style w:type="character" w:customStyle="1" w:styleId="WW8Num8z1">
    <w:name w:val="WW8Num8z1"/>
    <w:rsid w:val="00730B7A"/>
    <w:rPr>
      <w:rFonts w:ascii="OpenSymbol" w:hAnsi="OpenSymbol" w:cs="OpenSymbol"/>
    </w:rPr>
  </w:style>
  <w:style w:type="character" w:customStyle="1" w:styleId="WW8Num9z0">
    <w:name w:val="WW8Num9z0"/>
    <w:rsid w:val="00730B7A"/>
  </w:style>
  <w:style w:type="character" w:customStyle="1" w:styleId="WW8Num9z1">
    <w:name w:val="WW8Num9z1"/>
    <w:rsid w:val="00730B7A"/>
  </w:style>
  <w:style w:type="character" w:customStyle="1" w:styleId="WW8Num9z2">
    <w:name w:val="WW8Num9z2"/>
    <w:rsid w:val="00730B7A"/>
  </w:style>
  <w:style w:type="character" w:customStyle="1" w:styleId="WW8Num9z3">
    <w:name w:val="WW8Num9z3"/>
    <w:rsid w:val="00730B7A"/>
  </w:style>
  <w:style w:type="character" w:customStyle="1" w:styleId="WW8Num9z4">
    <w:name w:val="WW8Num9z4"/>
    <w:rsid w:val="00730B7A"/>
  </w:style>
  <w:style w:type="character" w:customStyle="1" w:styleId="WW8Num9z5">
    <w:name w:val="WW8Num9z5"/>
    <w:rsid w:val="00730B7A"/>
  </w:style>
  <w:style w:type="character" w:customStyle="1" w:styleId="WW8Num9z6">
    <w:name w:val="WW8Num9z6"/>
    <w:rsid w:val="00730B7A"/>
  </w:style>
  <w:style w:type="character" w:customStyle="1" w:styleId="WW8Num9z7">
    <w:name w:val="WW8Num9z7"/>
    <w:rsid w:val="00730B7A"/>
  </w:style>
  <w:style w:type="character" w:customStyle="1" w:styleId="WW8Num9z8">
    <w:name w:val="WW8Num9z8"/>
    <w:rsid w:val="00730B7A"/>
  </w:style>
  <w:style w:type="character" w:customStyle="1" w:styleId="Absatz-Standardschriftart">
    <w:name w:val="Absatz-Standardschriftart"/>
    <w:rsid w:val="00730B7A"/>
  </w:style>
  <w:style w:type="character" w:customStyle="1" w:styleId="WW-Absatz-Standardschriftart">
    <w:name w:val="WW-Absatz-Standardschriftart"/>
    <w:rsid w:val="00730B7A"/>
  </w:style>
  <w:style w:type="character" w:customStyle="1" w:styleId="WW-Absatz-Standardschriftart1">
    <w:name w:val="WW-Absatz-Standardschriftart1"/>
    <w:rsid w:val="00730B7A"/>
  </w:style>
  <w:style w:type="character" w:customStyle="1" w:styleId="WW-Absatz-Standardschriftart11">
    <w:name w:val="WW-Absatz-Standardschriftart11"/>
    <w:rsid w:val="00730B7A"/>
  </w:style>
  <w:style w:type="character" w:customStyle="1" w:styleId="WW-Absatz-Standardschriftart111">
    <w:name w:val="WW-Absatz-Standardschriftart111"/>
    <w:rsid w:val="00730B7A"/>
  </w:style>
  <w:style w:type="character" w:customStyle="1" w:styleId="WW-Absatz-Standardschriftart1111">
    <w:name w:val="WW-Absatz-Standardschriftart1111"/>
    <w:rsid w:val="00730B7A"/>
  </w:style>
  <w:style w:type="character" w:customStyle="1" w:styleId="Symbolewypunktowania">
    <w:name w:val="Symbole wypunktowania"/>
    <w:rsid w:val="00730B7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0B7A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Tekstpodstawowy">
    <w:name w:val="Body Text"/>
    <w:basedOn w:val="Normalny"/>
    <w:link w:val="TekstpodstawowyZnak"/>
    <w:rsid w:val="00730B7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30B7A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Lista">
    <w:name w:val="List"/>
    <w:basedOn w:val="Tekstpodstawowy"/>
    <w:rsid w:val="00730B7A"/>
    <w:rPr>
      <w:rFonts w:cs="Tahoma"/>
    </w:rPr>
  </w:style>
  <w:style w:type="paragraph" w:customStyle="1" w:styleId="Podpis1">
    <w:name w:val="Podpis1"/>
    <w:basedOn w:val="Normalny"/>
    <w:rsid w:val="00730B7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kern w:val="1"/>
      <w:sz w:val="24"/>
      <w:szCs w:val="24"/>
    </w:rPr>
  </w:style>
  <w:style w:type="paragraph" w:customStyle="1" w:styleId="Indeks">
    <w:name w:val="Indeks"/>
    <w:basedOn w:val="Normalny"/>
    <w:rsid w:val="00730B7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</w:rPr>
  </w:style>
  <w:style w:type="paragraph" w:customStyle="1" w:styleId="Zawartotabeli">
    <w:name w:val="Zawartość tabeli"/>
    <w:basedOn w:val="Normalny"/>
    <w:rsid w:val="00730B7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Nagwektabeli">
    <w:name w:val="Nagłówek tabeli"/>
    <w:basedOn w:val="Zawartotabeli"/>
    <w:rsid w:val="00730B7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16</cp:revision>
  <cp:lastPrinted>2019-03-04T11:57:00Z</cp:lastPrinted>
  <dcterms:created xsi:type="dcterms:W3CDTF">2019-03-04T08:44:00Z</dcterms:created>
  <dcterms:modified xsi:type="dcterms:W3CDTF">2019-03-14T10:38:00Z</dcterms:modified>
</cp:coreProperties>
</file>